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7F" w:rsidRDefault="004326AA" w:rsidP="004326A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sz w:val="28"/>
          <w:szCs w:val="28"/>
        </w:rPr>
        <w:t>Anvisning af kommunale lokaler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Kommunale institutioner (primært skoler) anviser ledige kommunale lokaler og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proofErr w:type="gramStart"/>
      <w:r>
        <w:rPr>
          <w:rFonts w:ascii="Helvetica" w:hAnsi="Helvetica" w:cs="Helvetica"/>
          <w:sz w:val="24"/>
          <w:szCs w:val="24"/>
        </w:rPr>
        <w:t>dendørs</w:t>
      </w:r>
      <w:proofErr w:type="spellEnd"/>
      <w:proofErr w:type="gramEnd"/>
      <w:r w:rsidR="004326AA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anlæg til fritidsbrug og/eller virksomhed i henhold til Folkeoplysningsloven.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Anvisningen sker efter følgende </w:t>
      </w:r>
      <w:r w:rsidR="004326AA">
        <w:rPr>
          <w:rFonts w:ascii="Helvetica" w:hAnsi="Helvetica" w:cs="Helvetica"/>
          <w:sz w:val="24"/>
          <w:szCs w:val="24"/>
        </w:rPr>
        <w:t>retningslinjer</w:t>
      </w:r>
      <w:r>
        <w:rPr>
          <w:rFonts w:ascii="Helvetica" w:hAnsi="Helvetica" w:cs="Helvetica"/>
          <w:sz w:val="24"/>
          <w:szCs w:val="24"/>
        </w:rPr>
        <w:t xml:space="preserve"> og under ansvar over for Udvalget for Kultur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og</w:t>
      </w:r>
      <w:proofErr w:type="gramEnd"/>
      <w:r>
        <w:rPr>
          <w:rFonts w:ascii="Helvetica" w:hAnsi="Helvetica" w:cs="Helvetica"/>
          <w:sz w:val="24"/>
          <w:szCs w:val="24"/>
        </w:rPr>
        <w:t xml:space="preserve"> Fritid: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Pr="004202FB" w:rsidRDefault="005C737F" w:rsidP="004202FB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4202FB">
        <w:rPr>
          <w:rFonts w:ascii="Helvetica-Bold" w:hAnsi="Helvetica-Bold" w:cs="Helvetica-Bold"/>
          <w:b/>
          <w:bCs/>
          <w:sz w:val="24"/>
          <w:szCs w:val="24"/>
        </w:rPr>
        <w:t>Anvisningspligtens omfang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Der skal anvises ledige offentlige lokaler og udendørsanlæg til foreninger m.v., som er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hjemmehørende</w:t>
      </w:r>
      <w:proofErr w:type="gramEnd"/>
      <w:r>
        <w:rPr>
          <w:rFonts w:ascii="Helvetica" w:hAnsi="Helvetica" w:cs="Helvetica"/>
          <w:sz w:val="24"/>
          <w:szCs w:val="24"/>
        </w:rPr>
        <w:t xml:space="preserve"> i Varde Kommune og som etablerer aktiviteter i henhold til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Folkeoplysningsloven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Lokalerne skal stilles vederlagsfrit til rådighed med:</w:t>
      </w:r>
    </w:p>
    <w:p w:rsidR="005C737F" w:rsidRPr="004202FB" w:rsidRDefault="005C737F" w:rsidP="004202FB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4202FB">
        <w:rPr>
          <w:rFonts w:ascii="Helvetica" w:hAnsi="Helvetica" w:cs="Helvetica"/>
          <w:sz w:val="24"/>
          <w:szCs w:val="24"/>
        </w:rPr>
        <w:t>lys</w:t>
      </w:r>
      <w:proofErr w:type="gramEnd"/>
      <w:r w:rsidRPr="004202FB">
        <w:rPr>
          <w:rFonts w:ascii="Helvetica" w:hAnsi="Helvetica" w:cs="Helvetica"/>
          <w:sz w:val="24"/>
          <w:szCs w:val="24"/>
        </w:rPr>
        <w:t>, varme, rengøring og fornødent udstyr</w:t>
      </w:r>
    </w:p>
    <w:p w:rsidR="005C737F" w:rsidRPr="004202FB" w:rsidRDefault="005C737F" w:rsidP="004202FB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4202FB">
        <w:rPr>
          <w:rFonts w:ascii="Helvetica" w:hAnsi="Helvetica" w:cs="Helvetica"/>
          <w:sz w:val="24"/>
          <w:szCs w:val="24"/>
        </w:rPr>
        <w:t>den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indretning og det inventar og undervisningsmateriel, der er til rådighed, når</w:t>
      </w:r>
    </w:p>
    <w:p w:rsidR="005C737F" w:rsidRPr="004202FB" w:rsidRDefault="005C737F" w:rsidP="004202FB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4202FB">
        <w:rPr>
          <w:rFonts w:ascii="Helvetica" w:hAnsi="Helvetica" w:cs="Helvetica"/>
          <w:sz w:val="24"/>
          <w:szCs w:val="24"/>
        </w:rPr>
        <w:t>lokalerne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anvendes til deres primære formål.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Den vederlagsfrie anvisning omfatter ikke pedelbistand. Kræver skolen, at pedel eller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andet</w:t>
      </w:r>
      <w:proofErr w:type="gramEnd"/>
      <w:r>
        <w:rPr>
          <w:rFonts w:ascii="Helvetica" w:hAnsi="Helvetica" w:cs="Helvetica"/>
          <w:sz w:val="24"/>
          <w:szCs w:val="24"/>
        </w:rPr>
        <w:t xml:space="preserve"> opsyn medvirker, kan der ikke kræves betaling herfor af foreningerne/brugerne.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Foreningernes/brugernes egne ønsker om evt. pedelbistand, kantinepersonale o.l. betales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efter</w:t>
      </w:r>
      <w:proofErr w:type="gramEnd"/>
      <w:r>
        <w:rPr>
          <w:rFonts w:ascii="Helvetica" w:hAnsi="Helvetica" w:cs="Helvetica"/>
          <w:sz w:val="24"/>
          <w:szCs w:val="24"/>
        </w:rPr>
        <w:t xml:space="preserve"> regning.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Anvisningen omfatter også lokale foreningers større stævner, træningslejre, træf m.v. med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deltagelse</w:t>
      </w:r>
      <w:proofErr w:type="gramEnd"/>
      <w:r>
        <w:rPr>
          <w:rFonts w:ascii="Helvetica" w:hAnsi="Helvetica" w:cs="Helvetica"/>
          <w:sz w:val="24"/>
          <w:szCs w:val="24"/>
        </w:rPr>
        <w:t xml:space="preserve"> af udenbys foreninger - herunder også overnatning.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Hvis der er tvivl om, hvorvidt en forening har krav på at få anvist lokaler skal Kultur- og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Fritid kontaktes. Det er i sidste instans Udvalget for Kultur og Fritid, der afgør, om en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forening</w:t>
      </w:r>
      <w:proofErr w:type="gramEnd"/>
      <w:r>
        <w:rPr>
          <w:rFonts w:ascii="Helvetica" w:hAnsi="Helvetica" w:cs="Helvetica"/>
          <w:sz w:val="24"/>
          <w:szCs w:val="24"/>
        </w:rPr>
        <w:t xml:space="preserve"> er berettiget til at få lokaler stillet til rådighed.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Der kan kun meddeles afslag på en ansøgning når:</w:t>
      </w:r>
    </w:p>
    <w:p w:rsidR="005C737F" w:rsidRPr="004202FB" w:rsidRDefault="005C737F" w:rsidP="004202FB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Symbol" w:hAnsi="Symbol" w:cs="Symbol"/>
          <w:sz w:val="24"/>
          <w:szCs w:val="24"/>
        </w:rPr>
        <w:t></w:t>
      </w:r>
      <w:proofErr w:type="gramStart"/>
      <w:r w:rsidRPr="004202FB">
        <w:rPr>
          <w:rFonts w:ascii="Helvetica" w:hAnsi="Helvetica" w:cs="Helvetica"/>
          <w:sz w:val="24"/>
          <w:szCs w:val="24"/>
        </w:rPr>
        <w:t>lokalet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er optaget til sit primære formål</w:t>
      </w:r>
    </w:p>
    <w:p w:rsidR="005C737F" w:rsidRPr="004202FB" w:rsidRDefault="005C737F" w:rsidP="004202FB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Symbol" w:hAnsi="Symbol" w:cs="Symbol"/>
          <w:sz w:val="24"/>
          <w:szCs w:val="24"/>
        </w:rPr>
        <w:t></w:t>
      </w:r>
      <w:proofErr w:type="gramStart"/>
      <w:r w:rsidRPr="004202FB">
        <w:rPr>
          <w:rFonts w:ascii="Helvetica" w:hAnsi="Helvetica" w:cs="Helvetica"/>
          <w:sz w:val="24"/>
          <w:szCs w:val="24"/>
        </w:rPr>
        <w:t>lokalet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ikke er egnet til formålet</w:t>
      </w:r>
    </w:p>
    <w:p w:rsidR="005C737F" w:rsidRPr="004202FB" w:rsidRDefault="005C737F" w:rsidP="004202FB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Symbol" w:hAnsi="Symbol" w:cs="Symbol"/>
          <w:sz w:val="24"/>
          <w:szCs w:val="24"/>
        </w:rPr>
        <w:t></w:t>
      </w:r>
      <w:proofErr w:type="gramStart"/>
      <w:r w:rsidRPr="004202FB">
        <w:rPr>
          <w:rFonts w:ascii="Helvetica" w:hAnsi="Helvetica" w:cs="Helvetica"/>
          <w:sz w:val="24"/>
          <w:szCs w:val="24"/>
        </w:rPr>
        <w:t>lokalet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er optaget af andre brugere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Pr="004202FB" w:rsidRDefault="005C737F" w:rsidP="004202F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4202FB">
        <w:rPr>
          <w:rFonts w:ascii="Helvetica-Bold" w:hAnsi="Helvetica-Bold" w:cs="Helvetica-Bold"/>
          <w:b/>
          <w:bCs/>
          <w:sz w:val="24"/>
          <w:szCs w:val="24"/>
        </w:rPr>
        <w:t>Rækkefølge for anvisning</w:t>
      </w:r>
    </w:p>
    <w:p w:rsidR="004202FB" w:rsidRPr="004202FB" w:rsidRDefault="004202FB" w:rsidP="004202FB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C737F" w:rsidRPr="004202FB" w:rsidRDefault="005C737F" w:rsidP="004202F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Helvetica" w:hAnsi="Helvetica" w:cs="Helvetica"/>
          <w:sz w:val="24"/>
          <w:szCs w:val="24"/>
        </w:rPr>
        <w:t>Når lokalerne fordeles i maj/juni måned for den kommende sæson, skal fordelingen</w:t>
      </w:r>
    </w:p>
    <w:p w:rsidR="005C737F" w:rsidRDefault="005C737F" w:rsidP="004326A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4326AA">
        <w:rPr>
          <w:rFonts w:ascii="Helvetica" w:hAnsi="Helvetica" w:cs="Helvetica"/>
          <w:sz w:val="24"/>
          <w:szCs w:val="24"/>
        </w:rPr>
        <w:t>normalt</w:t>
      </w:r>
      <w:proofErr w:type="gramEnd"/>
      <w:r w:rsidRPr="004326AA">
        <w:rPr>
          <w:rFonts w:ascii="Helvetica" w:hAnsi="Helvetica" w:cs="Helvetica"/>
          <w:sz w:val="24"/>
          <w:szCs w:val="24"/>
        </w:rPr>
        <w:t xml:space="preserve"> foregå i følgende rækkefølge:</w:t>
      </w:r>
    </w:p>
    <w:p w:rsidR="004326AA" w:rsidRPr="004326AA" w:rsidRDefault="004326AA" w:rsidP="004326A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Helvetica" w:hAnsi="Helvetica" w:cs="Helvetica"/>
          <w:sz w:val="24"/>
          <w:szCs w:val="24"/>
        </w:rPr>
        <w:t>Skolens primære formål (skemalagt undervisning m.v.)</w:t>
      </w:r>
    </w:p>
    <w:p w:rsidR="004326AA" w:rsidRPr="004202FB" w:rsidRDefault="004326AA" w:rsidP="004326AA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Helvetica" w:hAnsi="Helvetica" w:cs="Helvetica"/>
          <w:sz w:val="24"/>
          <w:szCs w:val="24"/>
        </w:rPr>
        <w:t>Aktiviteter under Ungdomsskolen Varde</w:t>
      </w:r>
    </w:p>
    <w:p w:rsidR="004326AA" w:rsidRPr="004326AA" w:rsidRDefault="004326AA" w:rsidP="004326AA">
      <w:pPr>
        <w:pStyle w:val="Listeafsnit"/>
        <w:rPr>
          <w:rFonts w:ascii="Helvetica" w:hAnsi="Helvetica" w:cs="Helvetica"/>
          <w:sz w:val="24"/>
          <w:szCs w:val="24"/>
        </w:rPr>
      </w:pPr>
    </w:p>
    <w:p w:rsidR="005C737F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Helvetica" w:hAnsi="Helvetica" w:cs="Helvetica"/>
          <w:sz w:val="24"/>
          <w:szCs w:val="24"/>
        </w:rPr>
        <w:t>Aktiviteter under Varde Musik- og Billedskole og andre kommunale</w:t>
      </w:r>
      <w:r w:rsidR="004202FB" w:rsidRPr="004202FB">
        <w:rPr>
          <w:rFonts w:ascii="Helvetica" w:hAnsi="Helvetica" w:cs="Helvetica"/>
          <w:sz w:val="24"/>
          <w:szCs w:val="24"/>
        </w:rPr>
        <w:t xml:space="preserve"> </w:t>
      </w:r>
      <w:r w:rsidRPr="004202FB">
        <w:rPr>
          <w:rFonts w:ascii="Helvetica" w:hAnsi="Helvetica" w:cs="Helvetica"/>
          <w:sz w:val="24"/>
          <w:szCs w:val="24"/>
        </w:rPr>
        <w:t>institutioner (dramaskole, ferieaktiviteter o.l.)</w:t>
      </w:r>
    </w:p>
    <w:p w:rsidR="004326AA" w:rsidRPr="004326AA" w:rsidRDefault="004326AA" w:rsidP="004326AA">
      <w:pPr>
        <w:pStyle w:val="Listeafsnit"/>
        <w:rPr>
          <w:rFonts w:ascii="Helvetica" w:hAnsi="Helvetica" w:cs="Helvetica"/>
          <w:sz w:val="24"/>
          <w:szCs w:val="24"/>
        </w:rPr>
      </w:pPr>
    </w:p>
    <w:p w:rsidR="00CC2408" w:rsidRDefault="00CC2408" w:rsidP="00CC2408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C2408" w:rsidRPr="00CC2408" w:rsidRDefault="00CC2408" w:rsidP="00CC2408">
      <w:pPr>
        <w:pStyle w:val="Listeafsnit"/>
        <w:rPr>
          <w:rFonts w:ascii="Helvetica" w:hAnsi="Helvetica" w:cs="Helvetica"/>
          <w:sz w:val="24"/>
          <w:szCs w:val="24"/>
        </w:rPr>
      </w:pPr>
    </w:p>
    <w:p w:rsidR="005C737F" w:rsidRPr="004326AA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326AA">
        <w:rPr>
          <w:rFonts w:ascii="Helvetica" w:hAnsi="Helvetica" w:cs="Helvetica"/>
          <w:sz w:val="24"/>
          <w:szCs w:val="24"/>
        </w:rPr>
        <w:t>Foreningernes aktiviteter for børn og unge (under 25 år), idet handicappede normalt har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fortrinsret, hvis lokalerne er specielt velegnede for handicappede. Ved fordelingen af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lokaler til aktiviteter for børn og unge skal der normalt tages et vist hensyn til</w:t>
      </w:r>
    </w:p>
    <w:p w:rsidR="005C737F" w:rsidRPr="004202FB" w:rsidRDefault="005C737F" w:rsidP="004326AA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4202FB">
        <w:rPr>
          <w:rFonts w:ascii="Helvetica" w:hAnsi="Helvetica" w:cs="Helvetica"/>
          <w:sz w:val="24"/>
          <w:szCs w:val="24"/>
        </w:rPr>
        <w:t>aktivitetens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art og sæsonlængde (gymnastik i 6 mdr. frem for fodbold i 3-4 mdr.)</w:t>
      </w:r>
    </w:p>
    <w:p w:rsidR="005C737F" w:rsidRDefault="005C737F" w:rsidP="004326AA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4202FB">
        <w:rPr>
          <w:rFonts w:ascii="Helvetica" w:hAnsi="Helvetica" w:cs="Helvetica"/>
          <w:sz w:val="24"/>
          <w:szCs w:val="24"/>
        </w:rPr>
        <w:t>udnyttelsesgraden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(hellere 30 gymnaster end 2 personers enkeltsport)</w:t>
      </w:r>
    </w:p>
    <w:p w:rsidR="004326AA" w:rsidRPr="004202FB" w:rsidRDefault="004326AA" w:rsidP="004326AA">
      <w:pPr>
        <w:pStyle w:val="Listeafsnit"/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4"/>
          <w:szCs w:val="24"/>
        </w:rPr>
      </w:pPr>
    </w:p>
    <w:p w:rsidR="005C737F" w:rsidRPr="004202FB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Helvetica" w:hAnsi="Helvetica" w:cs="Helvetica"/>
          <w:sz w:val="24"/>
          <w:szCs w:val="24"/>
        </w:rPr>
        <w:t>Undervisning, studiekredse, foredragsvirksomhed, debatskabende aktiviteter og</w:t>
      </w:r>
    </w:p>
    <w:p w:rsidR="005C737F" w:rsidRDefault="005C737F" w:rsidP="004326AA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4202FB">
        <w:rPr>
          <w:rFonts w:ascii="Helvetica" w:hAnsi="Helvetica" w:cs="Helvetica"/>
          <w:sz w:val="24"/>
          <w:szCs w:val="24"/>
        </w:rPr>
        <w:t>aktiviteter</w:t>
      </w:r>
      <w:proofErr w:type="gramEnd"/>
      <w:r w:rsidRPr="004202FB">
        <w:rPr>
          <w:rFonts w:ascii="Helvetica" w:hAnsi="Helvetica" w:cs="Helvetica"/>
          <w:sz w:val="24"/>
          <w:szCs w:val="24"/>
        </w:rPr>
        <w:t xml:space="preserve"> tilrettelagt som fleksible tilrettelæggelsesformer (aftenskoleundervisning).</w:t>
      </w:r>
    </w:p>
    <w:p w:rsidR="004326AA" w:rsidRPr="004202FB" w:rsidRDefault="004326AA" w:rsidP="004326AA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202FB">
        <w:rPr>
          <w:rFonts w:ascii="Helvetica" w:hAnsi="Helvetica" w:cs="Helvetica"/>
          <w:sz w:val="24"/>
          <w:szCs w:val="24"/>
        </w:rPr>
        <w:t>Aktiviteter for voksne (over 25 år).</w:t>
      </w:r>
    </w:p>
    <w:p w:rsidR="004326AA" w:rsidRPr="004202FB" w:rsidRDefault="004326AA" w:rsidP="004326AA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326AA">
        <w:rPr>
          <w:rFonts w:ascii="Helvetica" w:hAnsi="Helvetica" w:cs="Helvetica"/>
          <w:sz w:val="24"/>
          <w:szCs w:val="24"/>
        </w:rPr>
        <w:t>Foreninger, som ikke er omfattet af Folkeoplysningsloven, men hvor Udvalget for Kultur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og Fritid ud fra et almennyttigt formål traditionelt har ønsket, at der anvises lokaler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(f.eks. borger- og sogneforeninger, husholdningsforeninger, boligforeninger, frivilligt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socialt arbejde, ”</w:t>
      </w:r>
      <w:proofErr w:type="spellStart"/>
      <w:r w:rsidRPr="004326AA">
        <w:rPr>
          <w:rFonts w:ascii="Helvetica" w:hAnsi="Helvetica" w:cs="Helvetica"/>
          <w:sz w:val="24"/>
          <w:szCs w:val="24"/>
        </w:rPr>
        <w:t>venneforeninger</w:t>
      </w:r>
      <w:proofErr w:type="spellEnd"/>
      <w:r w:rsidRPr="004326AA">
        <w:rPr>
          <w:rFonts w:ascii="Helvetica" w:hAnsi="Helvetica" w:cs="Helvetica"/>
          <w:sz w:val="24"/>
          <w:szCs w:val="24"/>
        </w:rPr>
        <w:t>”, faglige sammenslutninger med en vis tilknytning til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skolen/institutionen). Der er i hvert enkelt tilfælde tale om en vurdering af både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foreningens- og arrangementets formål. Evt. tvivlstilfælde forelægges Kultur- og Fritid.</w:t>
      </w:r>
    </w:p>
    <w:p w:rsidR="004326AA" w:rsidRPr="004326AA" w:rsidRDefault="004326AA" w:rsidP="004326AA">
      <w:pPr>
        <w:pStyle w:val="Listeafsnit"/>
        <w:rPr>
          <w:rFonts w:ascii="Helvetica" w:hAnsi="Helvetica" w:cs="Helvetica"/>
          <w:sz w:val="24"/>
          <w:szCs w:val="24"/>
        </w:rPr>
      </w:pPr>
    </w:p>
    <w:p w:rsidR="005C737F" w:rsidRPr="004326AA" w:rsidRDefault="005C737F" w:rsidP="004202FB">
      <w:pPr>
        <w:pStyle w:val="Listeafsni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326AA">
        <w:rPr>
          <w:rFonts w:ascii="Helvetica" w:hAnsi="Helvetica" w:cs="Helvetica"/>
          <w:sz w:val="24"/>
          <w:szCs w:val="24"/>
        </w:rPr>
        <w:t>Undervisningsformål, møder og lign. arrangementer for kommunens ansatte og, hvor</w:t>
      </w:r>
      <w:r w:rsidR="004326AA" w:rsidRPr="004326AA">
        <w:rPr>
          <w:rFonts w:ascii="Helvetica" w:hAnsi="Helvetica" w:cs="Helvetica"/>
          <w:sz w:val="24"/>
          <w:szCs w:val="24"/>
        </w:rPr>
        <w:t xml:space="preserve"> </w:t>
      </w:r>
      <w:r w:rsidRPr="004326AA">
        <w:rPr>
          <w:rFonts w:ascii="Helvetica" w:hAnsi="Helvetica" w:cs="Helvetica"/>
          <w:sz w:val="24"/>
          <w:szCs w:val="24"/>
        </w:rPr>
        <w:t>kommunale afdelinger, institutioner m.v. er indbydere.</w:t>
      </w:r>
    </w:p>
    <w:p w:rsidR="004202FB" w:rsidRDefault="004202FB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326AA" w:rsidRDefault="004326AA" w:rsidP="004326AA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C737F" w:rsidRDefault="005C737F" w:rsidP="004202FB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4202FB">
        <w:rPr>
          <w:rFonts w:ascii="Helvetica-Bold" w:hAnsi="Helvetica-Bold" w:cs="Helvetica-Bold"/>
          <w:b/>
          <w:bCs/>
          <w:sz w:val="24"/>
          <w:szCs w:val="24"/>
        </w:rPr>
        <w:t>Anvisning efter Folkeoplysningsloven</w:t>
      </w:r>
    </w:p>
    <w:p w:rsidR="004202FB" w:rsidRPr="004202FB" w:rsidRDefault="004202FB" w:rsidP="004202FB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Anvisning efter Folkeoplysningsloven sker typisk til de foreninger, der er nævnt under pkt.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2.4, 2.5, og 2.6. Anvisning sker endvidere til udviklingsarbejde inden for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Folkeoplysningslovens område, og her kan Udvalget for Kultur og Fritid i forsøgsperioden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dispensere</w:t>
      </w:r>
      <w:proofErr w:type="gramEnd"/>
      <w:r>
        <w:rPr>
          <w:rFonts w:ascii="Helvetica" w:hAnsi="Helvetica" w:cs="Helvetica"/>
          <w:sz w:val="24"/>
          <w:szCs w:val="24"/>
        </w:rPr>
        <w:t xml:space="preserve"> fra reglerne om foreningsdannelse.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Kommunalbestyrelsen kan efter indstilling fra Udvalget for Kultur og Fritid beslutte, at der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opkræves</w:t>
      </w:r>
      <w:proofErr w:type="gramEnd"/>
      <w:r>
        <w:rPr>
          <w:rFonts w:ascii="Helvetica" w:hAnsi="Helvetica" w:cs="Helvetica"/>
          <w:sz w:val="24"/>
          <w:szCs w:val="24"/>
        </w:rPr>
        <w:t xml:space="preserve"> et gebyr for brug af anviste lokaler. Gebyret skal indgå i en pulje og anvendes til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frivillig</w:t>
      </w:r>
      <w:proofErr w:type="gramEnd"/>
      <w:r>
        <w:rPr>
          <w:rFonts w:ascii="Helvetica" w:hAnsi="Helvetica" w:cs="Helvetica"/>
          <w:sz w:val="24"/>
          <w:szCs w:val="24"/>
        </w:rPr>
        <w:t xml:space="preserve"> lokaletilskud inden for samme hovedområde.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Ansøgere skal altid orienteres om Varde Kommunes regler for betaling af gebyrer. P.t.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drejer</w:t>
      </w:r>
      <w:proofErr w:type="gramEnd"/>
      <w:r>
        <w:rPr>
          <w:rFonts w:ascii="Helvetica" w:hAnsi="Helvetica" w:cs="Helvetica"/>
          <w:sz w:val="24"/>
          <w:szCs w:val="24"/>
        </w:rPr>
        <w:t xml:space="preserve"> det sig kun om foreninger, som låner idræts- og gymnastiksale, lokaler til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overnatninger</w:t>
      </w:r>
      <w:proofErr w:type="gramEnd"/>
      <w:r>
        <w:rPr>
          <w:rFonts w:ascii="Helvetica" w:hAnsi="Helvetica" w:cs="Helvetica"/>
          <w:sz w:val="24"/>
          <w:szCs w:val="24"/>
        </w:rPr>
        <w:t>, Ølgod Svømmehal og omklædningsrum til udendørs boldbaner.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Det er besluttet, at leje og lån af alle kommunale lokaler skal administreres via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Foreningsportalen (KMD-booking).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Varde Kommunes instruks for benyttelse af kommunale lokaler skal vedlægges tilladelsen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til</w:t>
      </w:r>
      <w:proofErr w:type="gramEnd"/>
      <w:r>
        <w:rPr>
          <w:rFonts w:ascii="Helvetica" w:hAnsi="Helvetica" w:cs="Helvetica"/>
          <w:sz w:val="24"/>
          <w:szCs w:val="24"/>
        </w:rPr>
        <w:t xml:space="preserve"> at benytte skolen.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Skolen må ikke anvise/udlåne lokaler til:</w:t>
      </w:r>
    </w:p>
    <w:p w:rsidR="005C737F" w:rsidRPr="00CC2408" w:rsidRDefault="005C737F" w:rsidP="00CC2408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CC2408">
        <w:rPr>
          <w:rFonts w:ascii="Helvetica" w:hAnsi="Helvetica" w:cs="Helvetica"/>
          <w:sz w:val="24"/>
          <w:szCs w:val="24"/>
        </w:rPr>
        <w:t>offentlige</w:t>
      </w:r>
      <w:proofErr w:type="gramEnd"/>
      <w:r w:rsidRPr="00CC2408">
        <w:rPr>
          <w:rFonts w:ascii="Helvetica" w:hAnsi="Helvetica" w:cs="Helvetica"/>
          <w:sz w:val="24"/>
          <w:szCs w:val="24"/>
        </w:rPr>
        <w:t xml:space="preserve"> entrégivende arrangementer.</w:t>
      </w:r>
    </w:p>
    <w:p w:rsidR="005C737F" w:rsidRPr="00CC2408" w:rsidRDefault="005C737F" w:rsidP="00CC2408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CC2408">
        <w:rPr>
          <w:rFonts w:ascii="Helvetica" w:hAnsi="Helvetica" w:cs="Helvetica"/>
          <w:sz w:val="24"/>
          <w:szCs w:val="24"/>
        </w:rPr>
        <w:t>arrangementer</w:t>
      </w:r>
      <w:proofErr w:type="gramEnd"/>
      <w:r w:rsidRPr="00CC2408">
        <w:rPr>
          <w:rFonts w:ascii="Helvetica" w:hAnsi="Helvetica" w:cs="Helvetica"/>
          <w:sz w:val="24"/>
          <w:szCs w:val="24"/>
        </w:rPr>
        <w:t xml:space="preserve"> eks. banko - hvor hovedformålet er en økonomisk gevinst for</w:t>
      </w:r>
    </w:p>
    <w:p w:rsidR="005C737F" w:rsidRPr="00CC2408" w:rsidRDefault="005C737F" w:rsidP="00CC2408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CC2408">
        <w:rPr>
          <w:rFonts w:ascii="Helvetica" w:hAnsi="Helvetica" w:cs="Helvetica"/>
          <w:sz w:val="24"/>
          <w:szCs w:val="24"/>
        </w:rPr>
        <w:t>foreningerne</w:t>
      </w:r>
      <w:proofErr w:type="gramEnd"/>
      <w:r w:rsidRPr="00CC2408">
        <w:rPr>
          <w:rFonts w:ascii="Helvetica" w:hAnsi="Helvetica" w:cs="Helvetica"/>
          <w:sz w:val="24"/>
          <w:szCs w:val="24"/>
        </w:rPr>
        <w:t>.</w:t>
      </w:r>
    </w:p>
    <w:p w:rsidR="005C737F" w:rsidRDefault="005C737F" w:rsidP="00CC2408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CC2408">
        <w:rPr>
          <w:rFonts w:ascii="Helvetica" w:hAnsi="Helvetica" w:cs="Helvetica"/>
          <w:sz w:val="24"/>
          <w:szCs w:val="24"/>
        </w:rPr>
        <w:t>kommercielle</w:t>
      </w:r>
      <w:proofErr w:type="gramEnd"/>
      <w:r w:rsidRPr="00CC2408">
        <w:rPr>
          <w:rFonts w:ascii="Helvetica" w:hAnsi="Helvetica" w:cs="Helvetica"/>
          <w:sz w:val="24"/>
          <w:szCs w:val="24"/>
        </w:rPr>
        <w:t xml:space="preserve"> foretagender eks. sponserede eller private fester</w:t>
      </w:r>
    </w:p>
    <w:p w:rsidR="00CC2408" w:rsidRPr="00CC2408" w:rsidRDefault="00CC2408" w:rsidP="00CC2408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Som udgangspunkt må anvisning af kommunale lokaler ikke være konkurrenceforvridende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i</w:t>
      </w:r>
      <w:proofErr w:type="gramEnd"/>
      <w:r>
        <w:rPr>
          <w:rFonts w:ascii="Helvetica" w:hAnsi="Helvetica" w:cs="Helvetica"/>
          <w:sz w:val="24"/>
          <w:szCs w:val="24"/>
        </w:rPr>
        <w:t xml:space="preserve"> forhold til private hoteller, restauranter, vandrehjem m.v., hvor udleje af lokaler er et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vigtigt</w:t>
      </w:r>
      <w:proofErr w:type="gramEnd"/>
      <w:r>
        <w:rPr>
          <w:rFonts w:ascii="Helvetica" w:hAnsi="Helvetica" w:cs="Helvetica"/>
          <w:sz w:val="24"/>
          <w:szCs w:val="24"/>
        </w:rPr>
        <w:t xml:space="preserve"> indtægtsgrundlag.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Der kan kun i specielle tilfælde udlejes lokaler til ovennævnte formål, og kun når det er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dokumenteret</w:t>
      </w:r>
      <w:proofErr w:type="gramEnd"/>
      <w:r>
        <w:rPr>
          <w:rFonts w:ascii="Helvetica" w:hAnsi="Helvetica" w:cs="Helvetica"/>
          <w:sz w:val="24"/>
          <w:szCs w:val="24"/>
        </w:rPr>
        <w:t>, at der ikke er tale om en ulig konkurrence i forhold til private udlejere af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lokaler</w:t>
      </w:r>
      <w:proofErr w:type="gramEnd"/>
      <w:r>
        <w:rPr>
          <w:rFonts w:ascii="Helvetica" w:hAnsi="Helvetica" w:cs="Helvetica"/>
          <w:sz w:val="24"/>
          <w:szCs w:val="24"/>
        </w:rPr>
        <w:t>. Lejebeløbet tilfalder skolen/institutionen.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Pr="00CC2408" w:rsidRDefault="005C737F" w:rsidP="00CC240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CC2408">
        <w:rPr>
          <w:rFonts w:ascii="Helvetica-Bold" w:hAnsi="Helvetica-Bold" w:cs="Helvetica-Bold"/>
          <w:b/>
          <w:bCs/>
          <w:sz w:val="24"/>
          <w:szCs w:val="24"/>
        </w:rPr>
        <w:t>Instruks</w:t>
      </w:r>
    </w:p>
    <w:p w:rsidR="00CC2408" w:rsidRPr="00CC2408" w:rsidRDefault="00CC2408" w:rsidP="00CC2408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Der henvises i øvrigt til instruks for benyttelse af kommunale lokaler.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Pr="00CC2408" w:rsidRDefault="005C737F" w:rsidP="00CC240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CC2408">
        <w:rPr>
          <w:rFonts w:ascii="Helvetica-Bold" w:hAnsi="Helvetica-Bold" w:cs="Helvetica-Bold"/>
          <w:b/>
          <w:bCs/>
          <w:sz w:val="24"/>
          <w:szCs w:val="24"/>
        </w:rPr>
        <w:t>Ankeregler</w:t>
      </w:r>
    </w:p>
    <w:p w:rsidR="00CC2408" w:rsidRPr="00CC2408" w:rsidRDefault="00CC2408" w:rsidP="00CC2408">
      <w:pPr>
        <w:pStyle w:val="Listeafsnit"/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Den enkelte institutions/skoles afgørelse kan af brugerne ankes til:</w:t>
      </w:r>
    </w:p>
    <w:p w:rsidR="005C737F" w:rsidRPr="00CC2408" w:rsidRDefault="005C737F" w:rsidP="00CC2408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C2408">
        <w:rPr>
          <w:rFonts w:ascii="Helvetica" w:hAnsi="Helvetica" w:cs="Helvetica"/>
          <w:sz w:val="24"/>
          <w:szCs w:val="24"/>
        </w:rPr>
        <w:t>Kultur og Fritid, når anvisning er sket efter Folkeoplysningslovens regler</w:t>
      </w:r>
    </w:p>
    <w:p w:rsidR="005C737F" w:rsidRDefault="005C737F" w:rsidP="00CC2408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C2408">
        <w:rPr>
          <w:rFonts w:ascii="Helvetica" w:hAnsi="Helvetica" w:cs="Helvetica"/>
          <w:sz w:val="24"/>
          <w:szCs w:val="24"/>
        </w:rPr>
        <w:t>Udvalget for Kultur og Fritid, når anvisning er sket efter nærværende retningslinjer.</w:t>
      </w:r>
    </w:p>
    <w:p w:rsidR="00CC2408" w:rsidRPr="00CC2408" w:rsidRDefault="00CC2408" w:rsidP="00CC240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Det bemærkes, at folkeoplysningslovens til enhver tid gældende regler for anvisning af</w:t>
      </w:r>
    </w:p>
    <w:p w:rsidR="005C737F" w:rsidRDefault="005C737F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kommunale</w:t>
      </w:r>
      <w:proofErr w:type="gramEnd"/>
      <w:r>
        <w:rPr>
          <w:rFonts w:ascii="Helvetica" w:hAnsi="Helvetica" w:cs="Helvetica"/>
          <w:sz w:val="24"/>
          <w:szCs w:val="24"/>
        </w:rPr>
        <w:t xml:space="preserve"> lokaler altid er gældende.</w:t>
      </w: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C2408" w:rsidRDefault="00CC2408" w:rsidP="005C737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C737F" w:rsidRDefault="005C737F" w:rsidP="00CC240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Kultur og Fritid</w:t>
      </w:r>
    </w:p>
    <w:p w:rsidR="00EF47BF" w:rsidRDefault="005C737F" w:rsidP="00CC2408">
      <w:pPr>
        <w:jc w:val="center"/>
      </w:pPr>
      <w:r>
        <w:rPr>
          <w:rFonts w:ascii="Helvetica" w:hAnsi="Helvetica" w:cs="Helvetica"/>
          <w:sz w:val="24"/>
          <w:szCs w:val="24"/>
        </w:rPr>
        <w:t>Varde Kommune</w:t>
      </w:r>
    </w:p>
    <w:sectPr w:rsidR="00EF47B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7F" w:rsidRDefault="005C737F" w:rsidP="005C737F">
      <w:pPr>
        <w:spacing w:after="0" w:line="240" w:lineRule="auto"/>
      </w:pPr>
      <w:r>
        <w:separator/>
      </w:r>
    </w:p>
  </w:endnote>
  <w:endnote w:type="continuationSeparator" w:id="0">
    <w:p w:rsidR="005C737F" w:rsidRDefault="005C737F" w:rsidP="005C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08" w:rsidRDefault="00CC2408">
    <w:pPr>
      <w:pStyle w:val="Sidefod"/>
    </w:pPr>
    <w:r>
      <w:t xml:space="preserve">Sagsnr. 18-2381,  Dok. 84299-18. </w:t>
    </w:r>
    <w:r>
      <w:tab/>
    </w:r>
    <w:r>
      <w:tab/>
      <w:t>31.05.2018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7F" w:rsidRDefault="005C737F" w:rsidP="005C737F">
      <w:pPr>
        <w:spacing w:after="0" w:line="240" w:lineRule="auto"/>
      </w:pPr>
      <w:r>
        <w:separator/>
      </w:r>
    </w:p>
  </w:footnote>
  <w:footnote w:type="continuationSeparator" w:id="0">
    <w:p w:rsidR="005C737F" w:rsidRDefault="005C737F" w:rsidP="005C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7F" w:rsidRDefault="005C737F">
    <w:pPr>
      <w:pStyle w:val="Sidehoved"/>
    </w:pPr>
    <w:r w:rsidRPr="005C737F">
      <w:rPr>
        <w:rFonts w:ascii="Helvetica-Bold" w:hAnsi="Helvetica-Bold" w:cs="Helvetica-Bold"/>
        <w:b/>
        <w:bCs/>
        <w:noProof/>
        <w:sz w:val="28"/>
        <w:szCs w:val="28"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611DA9" wp14:editId="5ABBB422">
              <wp:simplePos x="0" y="0"/>
              <wp:positionH relativeFrom="page">
                <wp:posOffset>5372100</wp:posOffset>
              </wp:positionH>
              <wp:positionV relativeFrom="paragraph">
                <wp:posOffset>-201930</wp:posOffset>
              </wp:positionV>
              <wp:extent cx="1962150" cy="1076325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737F" w:rsidRDefault="005B0740" w:rsidP="005C737F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75362868" wp14:editId="39B918AA">
                                <wp:extent cx="1755964" cy="571500"/>
                                <wp:effectExtent l="0" t="0" r="0" b="0"/>
                                <wp:docPr id="2" name="Billede 2" descr="C:\Users\49093\AppData\Local\Microsoft\Windows\Temporary Internet Files\Content.Outlook\ORR7E804\Varde-Kommune-logo-bred-RGB-bla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49093\AppData\Local\Microsoft\Windows\Temporary Internet Files\Content.Outlook\ORR7E804\Varde-Kommune-logo-bred-RGB-bla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7781" cy="5753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11DA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3pt;margin-top:-15.9pt;width:154.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3F4DAIAAPYDAAAOAAAAZHJzL2Uyb0RvYy54bWysU9tuGyEQfa/Uf0C813upL/HK6yhNmqpS&#10;epGSfgBmWS8KMBSwd92vz8A6jpW8Rd0HBDvDmTlnDqvLQSuyF85LMDUtJjklwnBopNnW9M/D7acL&#10;SnxgpmEKjKjpQXh6uf74YdXbSpTQgWqEIwhifNXbmnYh2CrLPO+EZn4CVhgMtuA0C3h026xxrEd0&#10;rbIyz+dZD66xDrjwHv/ejEG6TvhtK3j41bZeBKJqir2FtLq0buKarVes2jpmO8mPbbB3dKGZNFj0&#10;BHXDAiM7J99AackdeGjDhIPOoG0lF4kDsinyV2zuO2ZF4oLieHuSyf8/WP5z/9sR2dS0LBaUGKZx&#10;SA/i0YdWqEDKKFBvfYV59xYzw/AFBhx0IuvtHfBHTwxcd8xsxZVz0HeCNdhgEW9mZ1dHHB9BNv0P&#10;aLAO2wVIQEPrdFQP9SCIjoM6nIYjhkB4LLmcl8UMQxxjRb6Yfy5nqQarnq9b58M3AZrETU0dTj/B&#10;s/2dD7EdVj2nxGoGbqVSyQHKkL6myxlCvopoGdCgSuqaXuTxGy0TWX41TbocmFTjHgsoc6QdmY6c&#10;w7AZMDFqsYHmgAI4GI2IDwc3Hbh/lPRowpr6vzvmBCXqu0ERl8V0Gl2bDtPZosSDO49sziPMcISq&#10;aaBk3F6H5PSR0RWK3cokw0snx17RXEmd40OI7j0/p6yX57p+AgAA//8DAFBLAwQUAAYACAAAACEA&#10;zI9DWeAAAAAMAQAADwAAAGRycy9kb3ducmV2LnhtbEyPQU/DMAyF70j7D5GRuG1J2bqN0nRCIK4g&#10;toHELWu8tlrjVE22ln+Pd4Kb7ff0/L18M7pWXLAPjScNyUyBQCq9bajSsN+9TtcgQjRkTesJNfxg&#10;gE0xuclNZv1AH3jZxkpwCIXMaKhj7DIpQ1mjM2HmOyTWjr53JvLaV9L2ZuBw18p7pZbSmYb4Q206&#10;fK6xPG3PTsPn2/H7a6HeqxeXdoMflST3ILW+ux2fHkFEHOOfGa74jA4FMx38mWwQrYb1Ysldoobp&#10;POEOV0eSpnw68DRfrUAWufxfovgFAAD//wMAUEsBAi0AFAAGAAgAAAAhALaDOJL+AAAA4QEAABMA&#10;AAAAAAAAAAAAAAAAAAAAAFtDb250ZW50X1R5cGVzXS54bWxQSwECLQAUAAYACAAAACEAOP0h/9YA&#10;AACUAQAACwAAAAAAAAAAAAAAAAAvAQAAX3JlbHMvLnJlbHNQSwECLQAUAAYACAAAACEAy89xeAwC&#10;AAD2AwAADgAAAAAAAAAAAAAAAAAuAgAAZHJzL2Uyb0RvYy54bWxQSwECLQAUAAYACAAAACEAzI9D&#10;WeAAAAAMAQAADwAAAAAAAAAAAAAAAABmBAAAZHJzL2Rvd25yZXYueG1sUEsFBgAAAAAEAAQA8wAA&#10;AHMFAAAAAA==&#10;" filled="f" stroked="f">
              <v:textbox>
                <w:txbxContent>
                  <w:p w:rsidR="005C737F" w:rsidRDefault="005B0740" w:rsidP="005C737F">
                    <w:r>
                      <w:rPr>
                        <w:noProof/>
                      </w:rPr>
                      <w:drawing>
                        <wp:inline distT="0" distB="0" distL="0" distR="0" wp14:anchorId="75362868" wp14:editId="39B918AA">
                          <wp:extent cx="1755964" cy="571500"/>
                          <wp:effectExtent l="0" t="0" r="0" b="0"/>
                          <wp:docPr id="2" name="Billede 2" descr="C:\Users\49093\AppData\Local\Microsoft\Windows\Temporary Internet Files\Content.Outlook\ORR7E804\Varde-Kommune-logo-bred-RGB-bla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49093\AppData\Local\Microsoft\Windows\Temporary Internet Files\Content.Outlook\ORR7E804\Varde-Kommune-logo-bred-RGB-bla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7781" cy="5753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7FE"/>
    <w:multiLevelType w:val="hybridMultilevel"/>
    <w:tmpl w:val="E65024F4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80E"/>
    <w:multiLevelType w:val="hybridMultilevel"/>
    <w:tmpl w:val="CC848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39E3"/>
    <w:multiLevelType w:val="hybridMultilevel"/>
    <w:tmpl w:val="38F695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70F"/>
    <w:multiLevelType w:val="hybridMultilevel"/>
    <w:tmpl w:val="4DFE76A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C6B94"/>
    <w:multiLevelType w:val="hybridMultilevel"/>
    <w:tmpl w:val="674682E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647D3"/>
    <w:multiLevelType w:val="hybridMultilevel"/>
    <w:tmpl w:val="3D92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52068"/>
    <w:multiLevelType w:val="hybridMultilevel"/>
    <w:tmpl w:val="FEE08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17ABB"/>
    <w:multiLevelType w:val="hybridMultilevel"/>
    <w:tmpl w:val="531E06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17885"/>
    <w:multiLevelType w:val="hybridMultilevel"/>
    <w:tmpl w:val="AB349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A170C"/>
    <w:multiLevelType w:val="hybridMultilevel"/>
    <w:tmpl w:val="9C60AC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F34A2"/>
    <w:multiLevelType w:val="hybridMultilevel"/>
    <w:tmpl w:val="BFF0D1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7F"/>
    <w:rsid w:val="004202FB"/>
    <w:rsid w:val="004326AA"/>
    <w:rsid w:val="004D734B"/>
    <w:rsid w:val="005B0740"/>
    <w:rsid w:val="005C737F"/>
    <w:rsid w:val="00CC2408"/>
    <w:rsid w:val="00E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2E64FC5-AFFA-401A-82B7-77205FE4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C7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737F"/>
  </w:style>
  <w:style w:type="paragraph" w:styleId="Sidefod">
    <w:name w:val="footer"/>
    <w:basedOn w:val="Normal"/>
    <w:link w:val="SidefodTegn"/>
    <w:uiPriority w:val="99"/>
    <w:unhideWhenUsed/>
    <w:rsid w:val="005C7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737F"/>
  </w:style>
  <w:style w:type="paragraph" w:styleId="Listeafsnit">
    <w:name w:val="List Paragraph"/>
    <w:basedOn w:val="Normal"/>
    <w:uiPriority w:val="34"/>
    <w:qFormat/>
    <w:rsid w:val="0042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Dalgaard Mikkelsen</dc:creator>
  <cp:keywords/>
  <dc:description/>
  <cp:lastModifiedBy>Mads Jan Kristensen</cp:lastModifiedBy>
  <cp:revision>2</cp:revision>
  <dcterms:created xsi:type="dcterms:W3CDTF">2018-07-19T09:16:00Z</dcterms:created>
  <dcterms:modified xsi:type="dcterms:W3CDTF">2018-07-19T09:16:00Z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{8FD4B2D1-16B4-42B7-A305-9F83F5BF5FE5}</vt:lpwstr>
  </property>
</Properties>
</file>